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«Историческое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приоритетные направления развития системы образования Российской Федерации, законы и иные нормативно-правовые акты, регламентирующие деятельность в сфере образования в Российской Федерации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ОПК-1.2 знать нормативные документы по вопросам обучения и воспитания детей и молодежи, федеральные государственные образовательные стандарты основного общего, среднего общего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знать законодательные документы о правах ребенка, актуальные вопросы трудового законодательства; конвенцию о правах ребенка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ОПК-1.4 уметь применять основные нормативно- правовые акты в сфере образования и нормы профессиональной этики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ОПК-1.5 владеть действиями по соблюдению правовых, нравственных и этических норм, требований профессиональной этики - в условиях реальных педагогических ситуаций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действиями по осуществлению профессиональной деятельности в соответствии с требованиями федеральных государственных образовательных стандартов основного общего, среднего общего образования – в части анализа содержания современных подходов к организации и функционированию системы общего образования</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710.157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профессиональной деятельности</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277.8301"/>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совокупность взаимосвязанных задач в рамках поставленной цели работы, обеспечивающих ее достижение, определять ожидаемые результаты решения поставленных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методы проектирования решения конкретной задачи проекта, выбирая оптимальный способ ее решения, исходя из действующих правовых норм и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качественно решать конкретные задачи (исследования, проекта, деятельности) за установленное время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владеть способностью публично представлять результаты решения задач исследования, проекта,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27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Экономические основы образования</w:t>
            </w:r>
          </w:p>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p>
            <w:pPr>
              <w:jc w:val="center"/>
              <w:spacing w:after="0" w:line="240" w:lineRule="auto"/>
              <w:rPr>
                <w:sz w:val="22"/>
                <w:szCs w:val="22"/>
              </w:rPr>
            </w:pPr>
            <w:r>
              <w:rPr>
                <w:rFonts w:ascii="Times New Roman" w:hAnsi="Times New Roman" w:cs="Times New Roman"/>
                <w:color w:val="#000000"/>
                <w:sz w:val="22"/>
                <w:szCs w:val="22"/>
              </w:rPr>
              <w:t> Инфокоммуникационные технологии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Здоровьесберегающие технологии в</w:t>
            </w:r>
          </w:p>
          <w:p>
            <w:pPr>
              <w:jc w:val="center"/>
              <w:spacing w:after="0" w:line="240" w:lineRule="auto"/>
              <w:rPr>
                <w:sz w:val="22"/>
                <w:szCs w:val="22"/>
              </w:rPr>
            </w:pPr>
            <w:r>
              <w:rPr>
                <w:rFonts w:ascii="Times New Roman" w:hAnsi="Times New Roman" w:cs="Times New Roman"/>
                <w:color w:val="#000000"/>
                <w:sz w:val="22"/>
                <w:szCs w:val="22"/>
              </w:rPr>
              <w:t> педагогическом образовании</w:t>
            </w:r>
          </w:p>
          <w:p>
            <w:pPr>
              <w:jc w:val="center"/>
              <w:spacing w:after="0" w:line="240" w:lineRule="auto"/>
              <w:rPr>
                <w:sz w:val="22"/>
                <w:szCs w:val="22"/>
              </w:rPr>
            </w:pPr>
            <w:r>
              <w:rPr>
                <w:rFonts w:ascii="Times New Roman" w:hAnsi="Times New Roman" w:cs="Times New Roman"/>
                <w:color w:val="#000000"/>
                <w:sz w:val="22"/>
                <w:szCs w:val="22"/>
              </w:rPr>
              <w:t> Педагогика школы</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Решение педагогических задач</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Подготовка к работе вожатого в детском оздоровительном лагере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Современные основы обучения</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(стажерская)</w:t>
            </w:r>
          </w:p>
          <w:p>
            <w:pPr>
              <w:jc w:val="center"/>
              <w:spacing w:after="0" w:line="240" w:lineRule="auto"/>
              <w:rPr>
                <w:sz w:val="22"/>
                <w:szCs w:val="22"/>
              </w:rPr>
            </w:pPr>
            <w:r>
              <w:rPr>
                <w:rFonts w:ascii="Times New Roman" w:hAnsi="Times New Roman" w:cs="Times New Roman"/>
                <w:color w:val="#000000"/>
                <w:sz w:val="22"/>
                <w:szCs w:val="22"/>
              </w:rPr>
              <w:t> Государственный экзамен "Профессиональный экзамен по образовательной программе"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 ОПК-1, УК-10</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5086.78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государства и права.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государства и права.</w:t>
            </w:r>
          </w:p>
        </w:tc>
      </w:tr>
      <w:tr>
        <w:trPr>
          <w:trHeight w:hRule="exact" w:val="322.3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 основной закон государства. Общие положения об отрасли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государства и права.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об отрасли трудового права. Понятие и сущность правоотношений в трудовом праве. Характеристика видов трудовых правоотношений. Трудовой договор – понятие, существенные условия. Порядок заключения. Трудовая дисциплина и ответственность за ее нарушение. Регулирование профессиональной деятельности. Общие положения об отрасли трудового права. Понятие и сущность правоотношений в трудовом праве. Характеристика видов трудовых правоотношений. Трудовой договор – понятие, существенные условия. Регулирование профессиональной деятельности.</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понятия гражданского права как отрасли права. Понятия источников гражданского права. Понятие гражданского правоотношения. Физические и юридические лица как субъекты гражданского права, их статус. Право собственности. Обязательства в гражданском праве и ответственность за попечительство.</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семейного права как отрасли права. Общая характеристика брачно- семейных отношений. Субъекты и объекты семейных правоотношений. Взаимные права и обязанности супругов. Имущественные отношения супругов, родителей и детей. Совместная и личная собственность супругов. Общая характеристика возникновения отношений между родителями и детьми. Права и обязанности родителей. Ответственность по семейному праву.</w:t>
            </w: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Экологическое право. Предмет, источники объекты экологического права. Правовое регулирование природопользования. Ответственность за экологические нарушения.</w:t>
            </w:r>
          </w:p>
        </w:tc>
      </w:tr>
      <w:tr>
        <w:trPr>
          <w:trHeight w:hRule="exact" w:val="277.8312"/>
        </w:trPr>
        <w:tc>
          <w:tcPr>
            <w:tcW w:w="9654" w:type="dxa"/>
            <w:tcBorders>
</w:tcBorders>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об отрасли административного права. Понятие административного права и административного правоотношения. Субъекты административного права. Система органов исполнительной власти в Государственная служба. Административные правонарушения и административная ответственность. Основные административные наказания.</w:t>
            </w:r>
          </w:p>
        </w:tc>
      </w:tr>
      <w:tr>
        <w:trPr>
          <w:trHeight w:hRule="exact" w:val="277.8295"/>
        </w:trPr>
        <w:tc>
          <w:tcPr>
            <w:tcW w:w="9654" w:type="dxa"/>
            <w:tcBorders>
</w:tcBorders>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положения об отрасли и науке уголовного права. Понятие уголовного закона. Общее понятие преступления. Категории преступлений. Общие условия уголовной ответственности. Виды психических расстройств и их влияние на способность лица нести уголовную ответственность. Понятие состава преступления. Уголовное наказание: понятие, виды. Уголовная ответственность за совершение преступлений. Особенности уголовной ответственности и наказания.</w:t>
            </w: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Понятие, юридическая природа и классификация конституционных прав, свобод.</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государства и права.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1.Общество: понятие, признаки, типы. 2.Государство: происхождение и сущность. 3.Право: происхождение и сущность. 4.Основные правовые системы современности.</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конституционного права.2.Источники конституционного права.3.Субъекты и объекты конституционного права.</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трудового права. 2.Трудовые правоотношения. 3.Трудовой договор (контракт). 4.Рабочее время и время отдыха.</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гражданского права. 2.Гражданское правоотношение. 3.Субъекты гражданского правоотношения. 4.Гражданско-правовой договор.</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семейного права. 2.Источники семейного права. 3.Брак. 4.Порядок и условия заключения и расторжения брака. 5.Личные и имущественные права и обязанности супругов. 6.Правоотношения родителей и детей.</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экологического права. 2.Эволюция экологического права. 3.Источники экологического права. 4.Экологические правоотношения. 5.Структура экологического правоотношения. 6.Экологическая ответственность: понятие, формы, виды.</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административного права. 2.Источники административного права. 3.Субъекты административного права. 4.Административное правонарушение: понятие и признаки. 5.Административная ответственность: понятие, основания и порядок наложения.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1.Предмет, метод и задачи уголовного права. 2.Источники уголовного права. 3.Понятие «преступление». 4.Преступление: понятие, признаки, категории. 5.Понятие «состав преступления». 6.Обстоятельства, исключающие преступные деяния. 7.Уголовная ответственность.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1.Развитие представлений о правах и свободах в России и мире. 2.Закрепление прав и свобод человека в Российской Империи. 3.Права и обязанности граждан в советский период. 4.Конституционно-правовое регулирование прав и свобод в Российской Федерации. 5.Понятие, юридическая природа и классификация конституционных прав, свобод.</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https://urait.ru/bcode/441662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транспортных</w:t>
            </w:r>
            <w:r>
              <w:rPr/>
              <w:t xml:space="preserve"> </w:t>
            </w:r>
            <w:r>
              <w:rPr>
                <w:rFonts w:ascii="Times New Roman" w:hAnsi="Times New Roman" w:cs="Times New Roman"/>
                <w:color w:val="#000000"/>
                <w:sz w:val="24"/>
                <w:szCs w:val="24"/>
              </w:rPr>
              <w:t>вузов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Землин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Корякин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Пищелко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Расулов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Тимонина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Химич</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Эфендиев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978-5-534-06914-3.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https://urait.ru/bcode/420374</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Анисимов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Рыженков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Чикильдина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978-5-9916-6044-0.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https://www.biblio-online.ru/bcode/412780</w:t>
            </w:r>
            <w:r>
              <w:rPr/>
              <w:t xml:space="preserve"> </w:t>
            </w:r>
          </w:p>
        </w:tc>
      </w:tr>
      <w:tr>
        <w:trPr>
          <w:trHeight w:hRule="exact" w:val="799.3863"/>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https://urait.ru/bcode/411339</w:t>
            </w:r>
            <w:r>
              <w:rPr/>
              <w:t xml:space="preserve"> </w:t>
            </w:r>
          </w:p>
        </w:tc>
      </w:tr>
      <w:tr>
        <w:trPr>
          <w:trHeight w:hRule="exact" w:val="585.06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148.3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2024-2025_ФГОС3++2024_Бак-ОФО-ПО(ИО)(24)_plx_Правоведение</dc:title>
  <dc:creator>FastReport.NET</dc:creator>
</cp:coreProperties>
</file>